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F4B9F" w14:textId="77777777" w:rsidR="00C10C1C" w:rsidRPr="00C10C1C" w:rsidRDefault="00C10C1C" w:rsidP="00C10C1C">
      <w:pPr>
        <w:spacing w:before="100" w:beforeAutospacing="1" w:after="100" w:afterAutospacing="1" w:line="240" w:lineRule="auto"/>
        <w:jc w:val="center"/>
        <w:outlineLvl w:val="0"/>
        <w:rPr>
          <w:rFonts w:ascii="Arial Nova" w:eastAsia="Times New Roman" w:hAnsi="Arial Nova" w:cs="Times New Roman"/>
          <w:b/>
          <w:bCs/>
          <w:kern w:val="36"/>
          <w:sz w:val="22"/>
          <w:szCs w:val="22"/>
          <w:lang w:eastAsia="hr-HR"/>
          <w14:ligatures w14:val="none"/>
        </w:rPr>
      </w:pPr>
      <w:r w:rsidRPr="00C10C1C">
        <w:rPr>
          <w:rFonts w:ascii="Arial Nova" w:eastAsia="Times New Roman" w:hAnsi="Arial Nova" w:cs="Times New Roman"/>
          <w:b/>
          <w:bCs/>
          <w:kern w:val="36"/>
          <w:sz w:val="22"/>
          <w:szCs w:val="22"/>
          <w:lang w:eastAsia="hr-HR"/>
          <w14:ligatures w14:val="none"/>
        </w:rPr>
        <w:t>PRAVILNIK O PROVEDBI POSTUPAKA JEDNOSTAVNE NABAVE</w:t>
      </w:r>
    </w:p>
    <w:p w14:paraId="1D651BA8" w14:textId="77777777" w:rsidR="00C10C1C" w:rsidRPr="00C10C1C" w:rsidRDefault="00C10C1C" w:rsidP="00C10C1C">
      <w:pPr>
        <w:spacing w:before="100" w:beforeAutospacing="1" w:after="100" w:afterAutospacing="1" w:line="240" w:lineRule="auto"/>
        <w:jc w:val="center"/>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HRVATSKOG BADMINTONSKOG SAVEZA</w:t>
      </w:r>
    </w:p>
    <w:p w14:paraId="4AE2D07A"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Na temelju članka 15. stavaka 2. i 3. Zakona o javnoj nabavi („Narodne novine“, br. 120/16, 114/22 i 48/26) i odgovarajućih odredbi Statuta Hrvatskog </w:t>
      </w:r>
      <w:proofErr w:type="spellStart"/>
      <w:r w:rsidRPr="00C10C1C">
        <w:rPr>
          <w:rFonts w:ascii="Arial Nova" w:eastAsia="Times New Roman" w:hAnsi="Arial Nova" w:cs="Times New Roman"/>
          <w:kern w:val="0"/>
          <w:sz w:val="22"/>
          <w:szCs w:val="22"/>
          <w:lang w:eastAsia="hr-HR"/>
          <w14:ligatures w14:val="none"/>
        </w:rPr>
        <w:t>badmintonskog</w:t>
      </w:r>
      <w:proofErr w:type="spellEnd"/>
      <w:r w:rsidRPr="00C10C1C">
        <w:rPr>
          <w:rFonts w:ascii="Arial Nova" w:eastAsia="Times New Roman" w:hAnsi="Arial Nova" w:cs="Times New Roman"/>
          <w:kern w:val="0"/>
          <w:sz w:val="22"/>
          <w:szCs w:val="22"/>
          <w:lang w:eastAsia="hr-HR"/>
          <w14:ligatures w14:val="none"/>
        </w:rPr>
        <w:t xml:space="preserve"> saveza, Upravni odbor Hrvatskog </w:t>
      </w:r>
      <w:proofErr w:type="spellStart"/>
      <w:r w:rsidRPr="00C10C1C">
        <w:rPr>
          <w:rFonts w:ascii="Arial Nova" w:eastAsia="Times New Roman" w:hAnsi="Arial Nova" w:cs="Times New Roman"/>
          <w:kern w:val="0"/>
          <w:sz w:val="22"/>
          <w:szCs w:val="22"/>
          <w:lang w:eastAsia="hr-HR"/>
          <w14:ligatures w14:val="none"/>
        </w:rPr>
        <w:t>badmintonskog</w:t>
      </w:r>
      <w:proofErr w:type="spellEnd"/>
      <w:r w:rsidRPr="00C10C1C">
        <w:rPr>
          <w:rFonts w:ascii="Arial Nova" w:eastAsia="Times New Roman" w:hAnsi="Arial Nova" w:cs="Times New Roman"/>
          <w:kern w:val="0"/>
          <w:sz w:val="22"/>
          <w:szCs w:val="22"/>
          <w:lang w:eastAsia="hr-HR"/>
          <w14:ligatures w14:val="none"/>
        </w:rPr>
        <w:t xml:space="preserve"> saveza na sjednici održanoj __________ 2026. godine donosi</w:t>
      </w:r>
    </w:p>
    <w:p w14:paraId="7A64A6FE" w14:textId="77777777" w:rsidR="00C10C1C" w:rsidRPr="00C10C1C" w:rsidRDefault="00C10C1C" w:rsidP="00C10C1C">
      <w:pPr>
        <w:spacing w:before="100" w:beforeAutospacing="1" w:after="100" w:afterAutospacing="1" w:line="240" w:lineRule="auto"/>
        <w:jc w:val="center"/>
        <w:outlineLvl w:val="0"/>
        <w:rPr>
          <w:rFonts w:ascii="Arial Nova" w:eastAsia="Times New Roman" w:hAnsi="Arial Nova" w:cs="Times New Roman"/>
          <w:b/>
          <w:bCs/>
          <w:kern w:val="36"/>
          <w:sz w:val="22"/>
          <w:szCs w:val="22"/>
          <w:lang w:eastAsia="hr-HR"/>
          <w14:ligatures w14:val="none"/>
        </w:rPr>
      </w:pPr>
      <w:r w:rsidRPr="00C10C1C">
        <w:rPr>
          <w:rFonts w:ascii="Arial Nova" w:eastAsia="Times New Roman" w:hAnsi="Arial Nova" w:cs="Times New Roman"/>
          <w:b/>
          <w:bCs/>
          <w:kern w:val="36"/>
          <w:sz w:val="22"/>
          <w:szCs w:val="22"/>
          <w:lang w:eastAsia="hr-HR"/>
          <w14:ligatures w14:val="none"/>
        </w:rPr>
        <w:t>PRAVILNIK O PROVEDBI POSTUPAKA JEDNOSTAVNE NABAVE</w:t>
      </w:r>
    </w:p>
    <w:p w14:paraId="026753D7" w14:textId="77777777" w:rsidR="00C10C1C" w:rsidRPr="00C10C1C" w:rsidRDefault="00C10C1C" w:rsidP="00C10C1C">
      <w:pPr>
        <w:spacing w:before="100" w:beforeAutospacing="1" w:after="100" w:afterAutospacing="1" w:line="240" w:lineRule="auto"/>
        <w:jc w:val="both"/>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I. OPĆE ODREDBE</w:t>
      </w:r>
    </w:p>
    <w:p w14:paraId="5108126E" w14:textId="77777777" w:rsidR="00C10C1C" w:rsidRPr="00C10C1C" w:rsidRDefault="00C10C1C" w:rsidP="00C10C1C">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1.</w:t>
      </w:r>
    </w:p>
    <w:p w14:paraId="3DB7F010"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Ovim Pravilnikom uređuju se pravila, uvjeti i postupci nabave roba, usluga i projektnih natječaja procijenjene vrijednosti manje od 50.000,00 eura te radova procijenjene vrijednosti manje od 100.000,00 eura bez PDV-a, za koje sukladno Zakonu o javnoj nabavi ne postoji obveza provedbe postupka javne nabave.</w:t>
      </w:r>
    </w:p>
    <w:p w14:paraId="54816815"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(2) Hrvatski badmintonski savez u daljnjem tekstu ovoga Pravilnika naziva se Naručitelj ili HBS.</w:t>
      </w:r>
    </w:p>
    <w:p w14:paraId="0382D868"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(3) Cilj ovoga Pravilnika je osigurati zakonito, namjensko, ekonomično, učinkovito i svrhovito trošenje sredstava HBS-a, poštivanje načela javne nabave, sprječavanje sukoba interesa te odgovarajuću pravnu zaštitu gospodarskih subjekata.</w:t>
      </w:r>
    </w:p>
    <w:p w14:paraId="4DB4BB0A" w14:textId="77777777" w:rsidR="00C10C1C" w:rsidRPr="00C10C1C" w:rsidRDefault="00C10C1C" w:rsidP="00C10C1C">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2.</w:t>
      </w:r>
    </w:p>
    <w:p w14:paraId="29783D62"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Pojedini pojmovi u smislu ovoga Pravilnika imaju sljedeće značenje:</w:t>
      </w:r>
    </w:p>
    <w:p w14:paraId="04D7AEC6"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 </w:t>
      </w:r>
      <w:r w:rsidRPr="00C10C1C">
        <w:rPr>
          <w:rFonts w:ascii="Arial Nova" w:eastAsia="Times New Roman" w:hAnsi="Arial Nova" w:cs="Times New Roman"/>
          <w:b/>
          <w:bCs/>
          <w:kern w:val="0"/>
          <w:sz w:val="22"/>
          <w:szCs w:val="22"/>
          <w:lang w:eastAsia="hr-HR"/>
          <w14:ligatures w14:val="none"/>
        </w:rPr>
        <w:t>Godišnji plan rada</w:t>
      </w:r>
      <w:r w:rsidRPr="00C10C1C">
        <w:rPr>
          <w:rFonts w:ascii="Arial Nova" w:eastAsia="Times New Roman" w:hAnsi="Arial Nova" w:cs="Times New Roman"/>
          <w:kern w:val="0"/>
          <w:sz w:val="22"/>
          <w:szCs w:val="22"/>
          <w:lang w:eastAsia="hr-HR"/>
          <w14:ligatures w14:val="none"/>
        </w:rPr>
        <w:t xml:space="preserve"> je Plan rada HBS-a, plan rada reprezentacija, kalendar natjecanja ili drugi odgovarajući dokument kojim se uređuju aktivnosti HBS-a tijekom kalendarske godine;</w:t>
      </w:r>
    </w:p>
    <w:p w14:paraId="6158910F"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 </w:t>
      </w:r>
      <w:r w:rsidRPr="00C10C1C">
        <w:rPr>
          <w:rFonts w:ascii="Arial Nova" w:eastAsia="Times New Roman" w:hAnsi="Arial Nova" w:cs="Times New Roman"/>
          <w:b/>
          <w:bCs/>
          <w:kern w:val="0"/>
          <w:sz w:val="22"/>
          <w:szCs w:val="22"/>
          <w:lang w:eastAsia="hr-HR"/>
          <w14:ligatures w14:val="none"/>
        </w:rPr>
        <w:t>službeni smještaj</w:t>
      </w:r>
      <w:r w:rsidRPr="00C10C1C">
        <w:rPr>
          <w:rFonts w:ascii="Arial Nova" w:eastAsia="Times New Roman" w:hAnsi="Arial Nova" w:cs="Times New Roman"/>
          <w:kern w:val="0"/>
          <w:sz w:val="22"/>
          <w:szCs w:val="22"/>
          <w:lang w:eastAsia="hr-HR"/>
          <w14:ligatures w14:val="none"/>
        </w:rPr>
        <w:t xml:space="preserve"> je smještaj određen, ponuđen ili preporučen od strane organizatora natjecanja, međunarodne ili nacionalne sportske federacije, a koji može uključivati smještaj, prehranu, lokalni prijevoz, akreditacije i druge usluge povezane sa sudjelovanjem na natjecanju ili drugoj aktivnosti;</w:t>
      </w:r>
    </w:p>
    <w:p w14:paraId="1DC1CFF5" w14:textId="70772849"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 </w:t>
      </w:r>
      <w:r w:rsidRPr="00C10C1C">
        <w:rPr>
          <w:rFonts w:ascii="Arial Nova" w:eastAsia="Times New Roman" w:hAnsi="Arial Nova" w:cs="Times New Roman"/>
          <w:b/>
          <w:bCs/>
          <w:kern w:val="0"/>
          <w:sz w:val="22"/>
          <w:szCs w:val="22"/>
          <w:lang w:eastAsia="hr-HR"/>
          <w14:ligatures w14:val="none"/>
        </w:rPr>
        <w:t>ovlaštene osobe HBS-a</w:t>
      </w:r>
      <w:r w:rsidRPr="00C10C1C">
        <w:rPr>
          <w:rFonts w:ascii="Arial Nova" w:eastAsia="Times New Roman" w:hAnsi="Arial Nova" w:cs="Times New Roman"/>
          <w:kern w:val="0"/>
          <w:sz w:val="22"/>
          <w:szCs w:val="22"/>
          <w:lang w:eastAsia="hr-HR"/>
          <w14:ligatures w14:val="none"/>
        </w:rPr>
        <w:t xml:space="preserve"> su Predsjednik HBS-a, </w:t>
      </w:r>
      <w:r w:rsidR="00B24445">
        <w:rPr>
          <w:rFonts w:ascii="Arial Nova" w:eastAsia="Times New Roman" w:hAnsi="Arial Nova" w:cs="Times New Roman"/>
          <w:kern w:val="0"/>
          <w:sz w:val="22"/>
          <w:szCs w:val="22"/>
          <w:lang w:eastAsia="hr-HR"/>
          <w14:ligatures w14:val="none"/>
        </w:rPr>
        <w:t>Glavni tajnik</w:t>
      </w:r>
      <w:r w:rsidRPr="00C10C1C">
        <w:rPr>
          <w:rFonts w:ascii="Arial Nova" w:eastAsia="Times New Roman" w:hAnsi="Arial Nova" w:cs="Times New Roman"/>
          <w:kern w:val="0"/>
          <w:sz w:val="22"/>
          <w:szCs w:val="22"/>
          <w:lang w:eastAsia="hr-HR"/>
          <w14:ligatures w14:val="none"/>
        </w:rPr>
        <w:t xml:space="preserve"> HBS-a te druge osobe koje Predsjednik, </w:t>
      </w:r>
      <w:r w:rsidR="00B24445">
        <w:rPr>
          <w:rFonts w:ascii="Arial Nova" w:eastAsia="Times New Roman" w:hAnsi="Arial Nova" w:cs="Times New Roman"/>
          <w:kern w:val="0"/>
          <w:sz w:val="22"/>
          <w:szCs w:val="22"/>
          <w:lang w:eastAsia="hr-HR"/>
          <w14:ligatures w14:val="none"/>
        </w:rPr>
        <w:t>Glavni t</w:t>
      </w:r>
      <w:r w:rsidRPr="00C10C1C">
        <w:rPr>
          <w:rFonts w:ascii="Arial Nova" w:eastAsia="Times New Roman" w:hAnsi="Arial Nova" w:cs="Times New Roman"/>
          <w:kern w:val="0"/>
          <w:sz w:val="22"/>
          <w:szCs w:val="22"/>
          <w:lang w:eastAsia="hr-HR"/>
          <w14:ligatures w14:val="none"/>
        </w:rPr>
        <w:t>ajnik ili Upravni odbor HBS-a ovlaste za poduzimanje pojedinih radnji u smislu ovoga Pravilnika;</w:t>
      </w:r>
    </w:p>
    <w:p w14:paraId="2F53A5DF"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 </w:t>
      </w:r>
      <w:r w:rsidRPr="00C10C1C">
        <w:rPr>
          <w:rFonts w:ascii="Arial Nova" w:eastAsia="Times New Roman" w:hAnsi="Arial Nova" w:cs="Times New Roman"/>
          <w:b/>
          <w:bCs/>
          <w:kern w:val="0"/>
          <w:sz w:val="22"/>
          <w:szCs w:val="22"/>
          <w:lang w:eastAsia="hr-HR"/>
          <w14:ligatures w14:val="none"/>
        </w:rPr>
        <w:t>EOJN RH</w:t>
      </w:r>
      <w:r w:rsidRPr="00C10C1C">
        <w:rPr>
          <w:rFonts w:ascii="Arial Nova" w:eastAsia="Times New Roman" w:hAnsi="Arial Nova" w:cs="Times New Roman"/>
          <w:kern w:val="0"/>
          <w:sz w:val="22"/>
          <w:szCs w:val="22"/>
          <w:lang w:eastAsia="hr-HR"/>
          <w14:ligatures w14:val="none"/>
        </w:rPr>
        <w:t xml:space="preserve"> je Elektronički oglasnik javne nabave Republike Hrvatske;</w:t>
      </w:r>
    </w:p>
    <w:p w14:paraId="370F3ADF"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 </w:t>
      </w:r>
      <w:r w:rsidRPr="00C10C1C">
        <w:rPr>
          <w:rFonts w:ascii="Arial Nova" w:eastAsia="Times New Roman" w:hAnsi="Arial Nova" w:cs="Times New Roman"/>
          <w:b/>
          <w:bCs/>
          <w:kern w:val="0"/>
          <w:sz w:val="22"/>
          <w:szCs w:val="22"/>
          <w:lang w:eastAsia="hr-HR"/>
          <w14:ligatures w14:val="none"/>
        </w:rPr>
        <w:t>modul jednostavne nabave</w:t>
      </w:r>
      <w:r w:rsidRPr="00C10C1C">
        <w:rPr>
          <w:rFonts w:ascii="Arial Nova" w:eastAsia="Times New Roman" w:hAnsi="Arial Nova" w:cs="Times New Roman"/>
          <w:kern w:val="0"/>
          <w:sz w:val="22"/>
          <w:szCs w:val="22"/>
          <w:lang w:eastAsia="hr-HR"/>
          <w14:ligatures w14:val="none"/>
        </w:rPr>
        <w:t xml:space="preserve"> je modul EOJN RH putem kojega se, u slučajevima propisanim Zakonom, provode postupci jednostavne nabave.</w:t>
      </w:r>
    </w:p>
    <w:p w14:paraId="5E525533"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(2) Pojmovi koji nisu posebno definirani ovim Pravilnikom imaju značenje utvrđeno Zakonom o javnoj nabavi i podzakonskim propisima.</w:t>
      </w:r>
    </w:p>
    <w:p w14:paraId="179B7DB7" w14:textId="77777777" w:rsidR="00C10C1C" w:rsidRPr="00C10C1C" w:rsidRDefault="00C10C1C" w:rsidP="00C10C1C">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3.</w:t>
      </w:r>
    </w:p>
    <w:p w14:paraId="43329672"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lastRenderedPageBreak/>
        <w:t>(1) Sve vrijednosti navedene u ovome Pravilniku iskazane su bez PDV-a.</w:t>
      </w:r>
    </w:p>
    <w:p w14:paraId="06C25967"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(2) Procijenjena vrijednost predmeta nabave utvrđuje se sukladno pravilima Zakona.</w:t>
      </w:r>
    </w:p>
    <w:p w14:paraId="68EC6A8E"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(3) Predmet nabave ne smije se dijeliti s namjerom izbjegavanja primjene Zakona ili strožih pravila propisanih ovim Pravilnikom.</w:t>
      </w:r>
    </w:p>
    <w:p w14:paraId="50C0B4E2"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(4) Ne smatra se nedopuštenim dijeljenjem nabave zasebna nabava roba ili usluga za pojedinačne sportske aktivnosti iz Godišnjeg plana rada kada se radi o zasebnim događajima, natjecanjima, pripremama, putovanjima ili drugim aktivnostima te HBS za svaku pojedinu aktivnost odabire najpovoljniju dostupnu opciju na tržištu, osobito kod putnih usluga, smještaja i drugih usluga s dinamičnim cijenama, pod uvjetom da takvo postupanje nema za cilj izbjegavanje primjene Zakona ili ovoga Pravilnika.</w:t>
      </w:r>
    </w:p>
    <w:p w14:paraId="0BE82024" w14:textId="77777777" w:rsidR="00C10C1C" w:rsidRPr="00C10C1C" w:rsidRDefault="00C10C1C" w:rsidP="00C10C1C">
      <w:pPr>
        <w:spacing w:before="100" w:beforeAutospacing="1" w:after="100" w:afterAutospacing="1" w:line="240" w:lineRule="auto"/>
        <w:jc w:val="both"/>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II. NAČELA JEDNOSTAVNE NABAVE</w:t>
      </w:r>
    </w:p>
    <w:p w14:paraId="6325B6FB"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4.</w:t>
      </w:r>
    </w:p>
    <w:p w14:paraId="38E993F9"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HBS je u provedbi postupaka jednostavne nabave obvezan poštivati načela javne nabave, a osobito načela tržišnog natjecanja, jednakog tretmana, zabrane diskriminacije, uzajamnog priznavanja, razmjernosti i transparentnosti.</w:t>
      </w:r>
    </w:p>
    <w:p w14:paraId="73DE9AA9"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(2) Osobe koje sudjeluju u pripremi i provedbi postupaka jednostavne nabave dužne su postupati zakonito, nepristrano, profesionalno i ekonomično.</w:t>
      </w:r>
    </w:p>
    <w:p w14:paraId="3DE0321E"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(3) Uvjeti postupka, tehničke specifikacije, rokovi i dokazi koji se zahtijevaju od gospodarskih subjekata moraju biti razmjerni predmetu i vrijednosti nabave.</w:t>
      </w:r>
    </w:p>
    <w:p w14:paraId="5CEF71F4" w14:textId="77777777" w:rsidR="00C10C1C" w:rsidRPr="00C10C1C" w:rsidRDefault="00C10C1C" w:rsidP="00C10C1C">
      <w:pPr>
        <w:spacing w:before="100" w:beforeAutospacing="1" w:after="100" w:afterAutospacing="1" w:line="240" w:lineRule="auto"/>
        <w:jc w:val="both"/>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III. SPRJEČAVANJE SUKOBA INTERESA</w:t>
      </w:r>
    </w:p>
    <w:p w14:paraId="68F37B4C"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5.</w:t>
      </w:r>
    </w:p>
    <w:p w14:paraId="5FCE14C2"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Na postupke jednostavne nabave na odgovarajući se način primjenjuju odredbe Zakona kojima se uređuje sprječavanje, prepoznavanje i uklanjanje sukoba interesa.</w:t>
      </w:r>
    </w:p>
    <w:p w14:paraId="7FFF43DE"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(2) Osoba koja sazna za postojanje sukoba interesa dužna je odmah, a najkasnije dan nakon saznanja, izuzeti se iz postupka i o tome obavijestiti Predsjednika odnosno drugu odgovornu osobu HBS-a.</w:t>
      </w:r>
    </w:p>
    <w:p w14:paraId="7EDBA357"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(3) HBS vodi i objavljuje podatke o sukobu interesa u skladu sa Zakonom.</w:t>
      </w:r>
    </w:p>
    <w:p w14:paraId="4B163F02" w14:textId="77777777" w:rsidR="00C10C1C" w:rsidRPr="00C10C1C" w:rsidRDefault="00C10C1C" w:rsidP="00C10C1C">
      <w:pPr>
        <w:spacing w:before="100" w:beforeAutospacing="1" w:after="100" w:afterAutospacing="1" w:line="240" w:lineRule="auto"/>
        <w:jc w:val="both"/>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IV. IZUZEĆA OD PRIMJENE PRAVILNIKA</w:t>
      </w:r>
    </w:p>
    <w:p w14:paraId="2F7C1A0D"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6.</w:t>
      </w:r>
    </w:p>
    <w:p w14:paraId="470034E5"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Odredbe ovoga Pravilnika ne primjenjuju se na:</w:t>
      </w:r>
    </w:p>
    <w:p w14:paraId="6DFA1CAA"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ugovore o radu i druge ugovore koji uređuju radno-pravne odnose;</w:t>
      </w:r>
    </w:p>
    <w:p w14:paraId="2F2AA00B"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lastRenderedPageBreak/>
        <w:t>– dnevnice, naknade putnih troškova, terenske dodatke i druge osobne naknade koje HBS isplaćuje sportašima, trenerima, sucima, delegatima, zaposlenicima i drugim osobama upućenima na natjecanja, pripreme, seminare i druge aktivnosti;</w:t>
      </w:r>
    </w:p>
    <w:p w14:paraId="114A8A42"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refundacije opravdanih troškova koje su osobe iz prethodne alineje prethodno podmirile vlastitim sredstvima;</w:t>
      </w:r>
    </w:p>
    <w:p w14:paraId="73A6CBA8"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 članarine, kotizacije, </w:t>
      </w:r>
      <w:proofErr w:type="spellStart"/>
      <w:r w:rsidRPr="00C10C1C">
        <w:rPr>
          <w:rFonts w:ascii="Arial Nova" w:eastAsia="Times New Roman" w:hAnsi="Arial Nova" w:cs="Times New Roman"/>
          <w:kern w:val="0"/>
          <w:sz w:val="22"/>
          <w:szCs w:val="22"/>
          <w:lang w:eastAsia="hr-HR"/>
          <w14:ligatures w14:val="none"/>
        </w:rPr>
        <w:t>startnine</w:t>
      </w:r>
      <w:proofErr w:type="spellEnd"/>
      <w:r w:rsidRPr="00C10C1C">
        <w:rPr>
          <w:rFonts w:ascii="Arial Nova" w:eastAsia="Times New Roman" w:hAnsi="Arial Nova" w:cs="Times New Roman"/>
          <w:kern w:val="0"/>
          <w:sz w:val="22"/>
          <w:szCs w:val="22"/>
          <w:lang w:eastAsia="hr-HR"/>
          <w14:ligatures w14:val="none"/>
        </w:rPr>
        <w:t>, licence i druge obvezne naknade koje određuju BWF, Badminton Europe, HOO, međunarodne i nacionalne sportske organizacije, organizatori natjecanja i druga nadležna tijela;</w:t>
      </w:r>
    </w:p>
    <w:p w14:paraId="60DFE962"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troškove sudjelovanja na seminarima, konferencijama, edukacijama, tečajevima i drugim oblicima stručnog usavršavanja;</w:t>
      </w:r>
    </w:p>
    <w:p w14:paraId="09095076"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pretplate na stručnu literaturu, baze podataka, softverske licence, elektroničke publikacije i slične troškove kod kojih zbog njihove prirode nije uobičajeno pribavljanje više ponuda;</w:t>
      </w:r>
    </w:p>
    <w:p w14:paraId="45607C02"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usluge reprezentacije;</w:t>
      </w:r>
    </w:p>
    <w:p w14:paraId="21823AF6"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javnobilježničke, sudske i druge pristojbe te usluge za koje su cijene utvrđene tarifom ili posebnim propisom;</w:t>
      </w:r>
    </w:p>
    <w:p w14:paraId="1C1CA7DE"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ugovore i nabave koje su temeljem Zakona izuzete od primjene pravila javne nabave.</w:t>
      </w:r>
    </w:p>
    <w:p w14:paraId="1260A17B" w14:textId="77777777" w:rsidR="00C10C1C" w:rsidRPr="00C10C1C" w:rsidRDefault="00C10C1C" w:rsidP="00C10C1C">
      <w:pPr>
        <w:spacing w:before="100" w:beforeAutospacing="1" w:after="100" w:afterAutospacing="1" w:line="240" w:lineRule="auto"/>
        <w:jc w:val="both"/>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V. PLANIRANJE I POKRETANJE NABAVE</w:t>
      </w:r>
    </w:p>
    <w:p w14:paraId="201F9725"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7.</w:t>
      </w:r>
    </w:p>
    <w:p w14:paraId="76F62767"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HBS za svaku kalendarsku godinu donosi Plan nabave sukladno važećim propisima.</w:t>
      </w:r>
    </w:p>
    <w:p w14:paraId="5C5286C3" w14:textId="33B141FD"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(2) Plan nabave i njegove izmjene donosi Upravni odbor HBS-a na prijedlog </w:t>
      </w:r>
      <w:r w:rsidR="00B24445">
        <w:rPr>
          <w:rFonts w:ascii="Arial Nova" w:eastAsia="Times New Roman" w:hAnsi="Arial Nova" w:cs="Times New Roman"/>
          <w:kern w:val="0"/>
          <w:sz w:val="22"/>
          <w:szCs w:val="22"/>
          <w:lang w:eastAsia="hr-HR"/>
          <w14:ligatures w14:val="none"/>
        </w:rPr>
        <w:t>Glavnog t</w:t>
      </w:r>
      <w:r w:rsidRPr="00C10C1C">
        <w:rPr>
          <w:rFonts w:ascii="Arial Nova" w:eastAsia="Times New Roman" w:hAnsi="Arial Nova" w:cs="Times New Roman"/>
          <w:kern w:val="0"/>
          <w:sz w:val="22"/>
          <w:szCs w:val="22"/>
          <w:lang w:eastAsia="hr-HR"/>
          <w14:ligatures w14:val="none"/>
        </w:rPr>
        <w:t>ajnika HBS-a.</w:t>
      </w:r>
    </w:p>
    <w:p w14:paraId="6508D9DA"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(3) Plan nabave i njegove izmjene unose se i objavljuju u EOJN RH sukladno Zakonu i podzakonskim propisima.</w:t>
      </w:r>
    </w:p>
    <w:p w14:paraId="1F9A796E"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(4) U Plan nabave unose se predmeti nabave čija je procijenjena vrijednost jednaka ili veća od 5.000,00 eura bez PDV-a.</w:t>
      </w:r>
    </w:p>
    <w:p w14:paraId="043146C2"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8.</w:t>
      </w:r>
    </w:p>
    <w:p w14:paraId="71743320" w14:textId="45ACC3F4"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(1) Postupak jednostavne nabave pokreće </w:t>
      </w:r>
      <w:r w:rsidR="00B24445">
        <w:rPr>
          <w:rFonts w:ascii="Arial Nova" w:eastAsia="Times New Roman" w:hAnsi="Arial Nova" w:cs="Times New Roman"/>
          <w:kern w:val="0"/>
          <w:sz w:val="22"/>
          <w:szCs w:val="22"/>
          <w:lang w:eastAsia="hr-HR"/>
          <w14:ligatures w14:val="none"/>
        </w:rPr>
        <w:t>Glavni t</w:t>
      </w:r>
      <w:r w:rsidRPr="00C10C1C">
        <w:rPr>
          <w:rFonts w:ascii="Arial Nova" w:eastAsia="Times New Roman" w:hAnsi="Arial Nova" w:cs="Times New Roman"/>
          <w:kern w:val="0"/>
          <w:sz w:val="22"/>
          <w:szCs w:val="22"/>
          <w:lang w:eastAsia="hr-HR"/>
          <w14:ligatures w14:val="none"/>
        </w:rPr>
        <w:t>ajnik HBS-a na vlastitu inicijativu ili na obrazloženi prijedlog Predsjednika HBS-a, izbornika, trenera, stručne komisije, zaposlenika ili druge osobe odgovorne za određenu aktivnost HBS-a.</w:t>
      </w:r>
    </w:p>
    <w:p w14:paraId="11DA4ABD" w14:textId="7CBB4D8F"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(2) Postupak može pokrenuti i Predsjednik HBS-a uz obavijest </w:t>
      </w:r>
      <w:r w:rsidR="00B24445">
        <w:rPr>
          <w:rFonts w:ascii="Arial Nova" w:eastAsia="Times New Roman" w:hAnsi="Arial Nova" w:cs="Times New Roman"/>
          <w:kern w:val="0"/>
          <w:sz w:val="22"/>
          <w:szCs w:val="22"/>
          <w:lang w:eastAsia="hr-HR"/>
          <w14:ligatures w14:val="none"/>
        </w:rPr>
        <w:t>Glavnom t</w:t>
      </w:r>
      <w:r w:rsidRPr="00C10C1C">
        <w:rPr>
          <w:rFonts w:ascii="Arial Nova" w:eastAsia="Times New Roman" w:hAnsi="Arial Nova" w:cs="Times New Roman"/>
          <w:kern w:val="0"/>
          <w:sz w:val="22"/>
          <w:szCs w:val="22"/>
          <w:lang w:eastAsia="hr-HR"/>
          <w14:ligatures w14:val="none"/>
        </w:rPr>
        <w:t>ajniku.</w:t>
      </w:r>
    </w:p>
    <w:p w14:paraId="7E71EEBA"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(3) Zahtjev za pokretanje nabave, kada je potreban s obzirom na vrijednost i složenost nabave, sadrži najmanje opis predmeta nabave, procijenjenu vrijednost, obrazloženje potrebe, izvor financiranja i predloženi način provedbe.</w:t>
      </w:r>
    </w:p>
    <w:p w14:paraId="73E04D01" w14:textId="77777777" w:rsidR="00C10C1C" w:rsidRPr="00C10C1C" w:rsidRDefault="00C10C1C" w:rsidP="00C10C1C">
      <w:pPr>
        <w:spacing w:before="100" w:beforeAutospacing="1" w:after="100" w:afterAutospacing="1" w:line="240" w:lineRule="auto"/>
        <w:jc w:val="both"/>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lastRenderedPageBreak/>
        <w:t>VI. RAZGRANIČENJE POSTUPAKA PREMA PROCIJENJENOJ VRIJEDNOSTI</w:t>
      </w:r>
    </w:p>
    <w:p w14:paraId="7EF70DE1"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9.</w:t>
      </w:r>
    </w:p>
    <w:p w14:paraId="66DC6DF1"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Za robu i usluge postupci se provode na sljedeći način:</w:t>
      </w:r>
    </w:p>
    <w:p w14:paraId="3172A479" w14:textId="77777777" w:rsidR="00C10C1C" w:rsidRPr="00C10C1C" w:rsidRDefault="00C10C1C" w:rsidP="00C10C1C">
      <w:pPr>
        <w:numPr>
          <w:ilvl w:val="0"/>
          <w:numId w:val="1"/>
        </w:num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do 5.000,00 eura</w:t>
      </w:r>
      <w:r w:rsidRPr="00C10C1C">
        <w:rPr>
          <w:rFonts w:ascii="Arial Nova" w:eastAsia="Times New Roman" w:hAnsi="Arial Nova" w:cs="Times New Roman"/>
          <w:kern w:val="0"/>
          <w:sz w:val="22"/>
          <w:szCs w:val="22"/>
          <w:lang w:eastAsia="hr-HR"/>
          <w14:ligatures w14:val="none"/>
        </w:rPr>
        <w:t xml:space="preserve"> – izravna nabava bez obveze prikupljanja više ponuda;</w:t>
      </w:r>
    </w:p>
    <w:p w14:paraId="161C7B58" w14:textId="77777777" w:rsidR="00C10C1C" w:rsidRPr="00C10C1C" w:rsidRDefault="00C10C1C" w:rsidP="00C10C1C">
      <w:pPr>
        <w:numPr>
          <w:ilvl w:val="0"/>
          <w:numId w:val="1"/>
        </w:num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iznad 5.000,00 do uključivo 15.000,00 eura</w:t>
      </w:r>
      <w:r w:rsidRPr="00C10C1C">
        <w:rPr>
          <w:rFonts w:ascii="Arial Nova" w:eastAsia="Times New Roman" w:hAnsi="Arial Nova" w:cs="Times New Roman"/>
          <w:kern w:val="0"/>
          <w:sz w:val="22"/>
          <w:szCs w:val="22"/>
          <w:lang w:eastAsia="hr-HR"/>
          <w14:ligatures w14:val="none"/>
        </w:rPr>
        <w:t xml:space="preserve"> – izravno ugovaranje uz pribavljanje jedne ili više ponuda i odgovarajuću provjeru tržišnih uvjeta;</w:t>
      </w:r>
    </w:p>
    <w:p w14:paraId="5DB49A16" w14:textId="77777777" w:rsidR="00C10C1C" w:rsidRPr="00C10C1C" w:rsidRDefault="00C10C1C" w:rsidP="00C10C1C">
      <w:pPr>
        <w:numPr>
          <w:ilvl w:val="0"/>
          <w:numId w:val="1"/>
        </w:num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iznad 15.000,00 do uključivo 25.000,00 eura</w:t>
      </w:r>
      <w:r w:rsidRPr="00C10C1C">
        <w:rPr>
          <w:rFonts w:ascii="Arial Nova" w:eastAsia="Times New Roman" w:hAnsi="Arial Nova" w:cs="Times New Roman"/>
          <w:kern w:val="0"/>
          <w:sz w:val="22"/>
          <w:szCs w:val="22"/>
          <w:lang w:eastAsia="hr-HR"/>
          <w14:ligatures w14:val="none"/>
        </w:rPr>
        <w:t xml:space="preserve"> – postupak putem modula jednostavne nabave EOJN RH, u pravilu pozivom odabranim gospodarskim subjektima;</w:t>
      </w:r>
    </w:p>
    <w:p w14:paraId="748823E4" w14:textId="77777777" w:rsidR="00C10C1C" w:rsidRPr="00C10C1C" w:rsidRDefault="00C10C1C" w:rsidP="00C10C1C">
      <w:pPr>
        <w:numPr>
          <w:ilvl w:val="0"/>
          <w:numId w:val="1"/>
        </w:num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iznad 25.000,00 do manje od 50.000,00 eura</w:t>
      </w:r>
      <w:r w:rsidRPr="00C10C1C">
        <w:rPr>
          <w:rFonts w:ascii="Arial Nova" w:eastAsia="Times New Roman" w:hAnsi="Arial Nova" w:cs="Times New Roman"/>
          <w:kern w:val="0"/>
          <w:sz w:val="22"/>
          <w:szCs w:val="22"/>
          <w:lang w:eastAsia="hr-HR"/>
          <w14:ligatures w14:val="none"/>
        </w:rPr>
        <w:t xml:space="preserve"> – postupak putem javne objave poziva u modulu jednostavne nabave EOJN RH.</w:t>
      </w:r>
    </w:p>
    <w:p w14:paraId="25D5E33B"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Za radove postupci se provode na sljedeći način:</w:t>
      </w:r>
    </w:p>
    <w:p w14:paraId="197B1C96" w14:textId="77777777" w:rsidR="00C10C1C" w:rsidRPr="00C10C1C" w:rsidRDefault="00C10C1C" w:rsidP="00C10C1C">
      <w:pPr>
        <w:numPr>
          <w:ilvl w:val="0"/>
          <w:numId w:val="2"/>
        </w:num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do 15.000,00 eura</w:t>
      </w:r>
      <w:r w:rsidRPr="00C10C1C">
        <w:rPr>
          <w:rFonts w:ascii="Arial Nova" w:eastAsia="Times New Roman" w:hAnsi="Arial Nova" w:cs="Times New Roman"/>
          <w:kern w:val="0"/>
          <w:sz w:val="22"/>
          <w:szCs w:val="22"/>
          <w:lang w:eastAsia="hr-HR"/>
          <w14:ligatures w14:val="none"/>
        </w:rPr>
        <w:t xml:space="preserve"> – izravna nabava uz odgovarajuću provjeru tržišnih uvjeta;</w:t>
      </w:r>
    </w:p>
    <w:p w14:paraId="23046B47" w14:textId="77777777" w:rsidR="00C10C1C" w:rsidRPr="00C10C1C" w:rsidRDefault="00C10C1C" w:rsidP="00C10C1C">
      <w:pPr>
        <w:numPr>
          <w:ilvl w:val="0"/>
          <w:numId w:val="2"/>
        </w:num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iznad 15.000,00 do uključivo 45.000,00 eura</w:t>
      </w:r>
      <w:r w:rsidRPr="00C10C1C">
        <w:rPr>
          <w:rFonts w:ascii="Arial Nova" w:eastAsia="Times New Roman" w:hAnsi="Arial Nova" w:cs="Times New Roman"/>
          <w:kern w:val="0"/>
          <w:sz w:val="22"/>
          <w:szCs w:val="22"/>
          <w:lang w:eastAsia="hr-HR"/>
          <w14:ligatures w14:val="none"/>
        </w:rPr>
        <w:t xml:space="preserve"> – postupak putem modula jednostavne nabave EOJN RH, u pravilu pozivom odabranim gospodarskim subjektima;</w:t>
      </w:r>
    </w:p>
    <w:p w14:paraId="7B9452E3" w14:textId="77777777" w:rsidR="00C10C1C" w:rsidRPr="00C10C1C" w:rsidRDefault="00C10C1C" w:rsidP="00C10C1C">
      <w:pPr>
        <w:numPr>
          <w:ilvl w:val="0"/>
          <w:numId w:val="2"/>
        </w:num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iznad 45.000,00 do manje od 100.000,00 eura</w:t>
      </w:r>
      <w:r w:rsidRPr="00C10C1C">
        <w:rPr>
          <w:rFonts w:ascii="Arial Nova" w:eastAsia="Times New Roman" w:hAnsi="Arial Nova" w:cs="Times New Roman"/>
          <w:kern w:val="0"/>
          <w:sz w:val="22"/>
          <w:szCs w:val="22"/>
          <w:lang w:eastAsia="hr-HR"/>
          <w14:ligatures w14:val="none"/>
        </w:rPr>
        <w:t xml:space="preserve"> – postupak putem javne objave poziva u modulu jednostavne nabave EOJN RH.</w:t>
      </w:r>
    </w:p>
    <w:p w14:paraId="043CD557" w14:textId="412575EF"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HBS uvijek može provesti transparentniji ili konkurentniji postupak od minimalno propisanog ako Predsjednik, </w:t>
      </w:r>
      <w:r w:rsidR="00B24445">
        <w:rPr>
          <w:rFonts w:ascii="Arial Nova" w:eastAsia="Times New Roman" w:hAnsi="Arial Nova" w:cs="Times New Roman"/>
          <w:kern w:val="0"/>
          <w:sz w:val="22"/>
          <w:szCs w:val="22"/>
          <w:lang w:eastAsia="hr-HR"/>
          <w14:ligatures w14:val="none"/>
        </w:rPr>
        <w:t>Glavni t</w:t>
      </w:r>
      <w:r w:rsidRPr="00C10C1C">
        <w:rPr>
          <w:rFonts w:ascii="Arial Nova" w:eastAsia="Times New Roman" w:hAnsi="Arial Nova" w:cs="Times New Roman"/>
          <w:kern w:val="0"/>
          <w:sz w:val="22"/>
          <w:szCs w:val="22"/>
          <w:lang w:eastAsia="hr-HR"/>
          <w14:ligatures w14:val="none"/>
        </w:rPr>
        <w:t>ajnik ili Upravni odbor ocijene da je to opravdano prirodom ili vrijednošću nabave.</w:t>
      </w:r>
    </w:p>
    <w:p w14:paraId="2CD11C49" w14:textId="77777777" w:rsidR="00C10C1C" w:rsidRPr="00C10C1C" w:rsidRDefault="00C10C1C" w:rsidP="00C10C1C">
      <w:pPr>
        <w:spacing w:before="100" w:beforeAutospacing="1" w:after="100" w:afterAutospacing="1" w:line="240" w:lineRule="auto"/>
        <w:jc w:val="both"/>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VII. NABAVE DO 15.000,00 EURA</w:t>
      </w:r>
    </w:p>
    <w:p w14:paraId="6D36E067"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10.</w:t>
      </w:r>
    </w:p>
    <w:p w14:paraId="6D4BBEFC"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Jednostavna nabava procijenjene vrijednosti do 15.000,00 eura provodi se na jednostavan i učinkovit način, vodeći računa o ekonomičnosti i tržišnim uvjetima.</w:t>
      </w:r>
    </w:p>
    <w:p w14:paraId="0DEAB539"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(2) Za nabavu do 5.000,00 eura nije obvezno pribavljanje više ponuda.</w:t>
      </w:r>
    </w:p>
    <w:p w14:paraId="0036FFF0"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(3) Nabava se može provesti na temelju ponude, predračuna, cjenika, kataloga, internetske ponude ili druge odgovarajuće dokumentacije dobavljača.</w:t>
      </w:r>
    </w:p>
    <w:p w14:paraId="59053E74"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(4) Nabava se zaključuje izdavanjem narudžbenice, prihvatom ponude, izravnim plaćanjem računa kada je to primjereno prirodi nabave ili sklapanjem ugovora.</w:t>
      </w:r>
    </w:p>
    <w:p w14:paraId="3939BEAF"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11.</w:t>
      </w:r>
    </w:p>
    <w:p w14:paraId="77551FEE"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Kod nabave iznad 5.000,00 do uključivo 15.000,00 eura prije ugovaranja provjerava se tržišna prihvatljivost cijene.</w:t>
      </w:r>
    </w:p>
    <w:p w14:paraId="17B6DDEE"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(2) Provjera tržišta može se provesti uvidom u javno dostupne cijene, internetske stranice, kataloge, prethodne nabave, raspitivanjem kod drugih dobavljača ili na drugi prikladan način.</w:t>
      </w:r>
    </w:p>
    <w:p w14:paraId="5D6CBFA9"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(3) Provjera se dokumentira na način razmjeran vrijednosti i prirodi nabave, primjerice ponudama, ispisom internetskih cijena, elektroničkom poštom ili kratkom službenom bilješkom.</w:t>
      </w:r>
    </w:p>
    <w:p w14:paraId="3001AC2F" w14:textId="77777777" w:rsidR="00C10C1C" w:rsidRPr="00C10C1C" w:rsidRDefault="00C10C1C" w:rsidP="00C10C1C">
      <w:pPr>
        <w:spacing w:before="100" w:beforeAutospacing="1" w:after="100" w:afterAutospacing="1" w:line="240" w:lineRule="auto"/>
        <w:jc w:val="both"/>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lastRenderedPageBreak/>
        <w:t>VIII. NABAVE IZNAD 15.000,00 EURA</w:t>
      </w:r>
    </w:p>
    <w:p w14:paraId="4B374F3B"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12.</w:t>
      </w:r>
    </w:p>
    <w:p w14:paraId="23E76134"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Postupak jednostavne nabave procijenjene vrijednosti veće od 15.000,00 eura obvezno se provodi putem modula jednostavne nabave EOJN RH.</w:t>
      </w:r>
    </w:p>
    <w:p w14:paraId="7E88C867"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(2) Za robu i usluge vrijednosti veće od 15.000,00 do uključivo 25.000,00 eura te radove vrijednosti veće od 15.000,00 do uključivo 45.000,00 eura HBS može poziv na dostavu ponuda uputiti odabranim gospodarskim subjektima putem modula EOJN RH bez javne objave.</w:t>
      </w:r>
    </w:p>
    <w:p w14:paraId="607D0051"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(3) U pravilu se poziv upućuje najmanje dvama gospodarskim subjektima, kada na tržištu postoji dovoljan broj odgovarajućih gospodarskih subjekata.</w:t>
      </w:r>
    </w:p>
    <w:p w14:paraId="368208A8"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(4) Za robu i usluge procijenjene vrijednosti veće od 25.000,00 eura te radove procijenjene vrijednosti veće od 45.000,00 eura obvezna je javna objava poziva u modulu jednostavne nabave EOJN RH, osim u slučajevima propisanim Zakonom i ovim Pravilnikom.</w:t>
      </w:r>
    </w:p>
    <w:p w14:paraId="3592D7B8"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13.</w:t>
      </w:r>
    </w:p>
    <w:p w14:paraId="5D6A7AA5"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Iznimno od obveze javne objave, postupak se može provesti pozivom odabranom gospodarskom subjektu ili subjektima putem EOJN RH ako:</w:t>
      </w:r>
    </w:p>
    <w:p w14:paraId="58EFECBF" w14:textId="77777777" w:rsidR="00C10C1C" w:rsidRPr="00C10C1C" w:rsidRDefault="00C10C1C" w:rsidP="00C10C1C">
      <w:pPr>
        <w:numPr>
          <w:ilvl w:val="0"/>
          <w:numId w:val="3"/>
        </w:num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u prethodno provedenom postupku nije podnesena nijedna ponuda ili nijedna valjana ponuda, a početni uvjeti nisu bitno izmijenjeni;</w:t>
      </w:r>
    </w:p>
    <w:p w14:paraId="075A4F4E" w14:textId="77777777" w:rsidR="00C10C1C" w:rsidRPr="00C10C1C" w:rsidRDefault="00C10C1C" w:rsidP="00C10C1C">
      <w:pPr>
        <w:numPr>
          <w:ilvl w:val="0"/>
          <w:numId w:val="3"/>
        </w:num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zbog objektivnih ili tehničkih razloga predmet nabave može izvršiti, isporučiti ili pružiti samo određeni gospodarski subjekt;</w:t>
      </w:r>
    </w:p>
    <w:p w14:paraId="2EA116BD" w14:textId="77777777" w:rsidR="00C10C1C" w:rsidRPr="00C10C1C" w:rsidRDefault="00C10C1C" w:rsidP="00C10C1C">
      <w:pPr>
        <w:numPr>
          <w:ilvl w:val="0"/>
          <w:numId w:val="3"/>
        </w:num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je to nužno radi zaštite isključivih prava, uključujući prava intelektualnog vlasništva;</w:t>
      </w:r>
    </w:p>
    <w:p w14:paraId="74F21B5C" w14:textId="77777777" w:rsidR="00C10C1C" w:rsidRPr="00C10C1C" w:rsidRDefault="00C10C1C" w:rsidP="00C10C1C">
      <w:pPr>
        <w:numPr>
          <w:ilvl w:val="0"/>
          <w:numId w:val="3"/>
        </w:num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postoji iznimna žurnost uzrokovana događajima koje HBS nije mogao predvidjeti niti na njih utjecati.</w:t>
      </w:r>
    </w:p>
    <w:p w14:paraId="07109C4D"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Razlozi primjene iznimke moraju se obrazložiti u modulu jednostavne nabave EOJN RH.</w:t>
      </w:r>
    </w:p>
    <w:p w14:paraId="2348DD76"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14.</w:t>
      </w:r>
    </w:p>
    <w:p w14:paraId="3D64C724"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Kod HBS-a se odredbe prethodnog članka osobito mogu primijeniti kod:</w:t>
      </w:r>
    </w:p>
    <w:p w14:paraId="5E3890A9"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sportske opreme, službenih loptica, podloga i druge specifične opreme kada je određena pravilima BWF-a, Badminton Europe, organizatora natjecanja ili važećim sponzorskim ugovorom;</w:t>
      </w:r>
    </w:p>
    <w:p w14:paraId="3B128267"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 specijaliziranih softvera, sustava za vođenje turnira, rezultata, prijava i licenci kada zbog tehničkih ili </w:t>
      </w:r>
      <w:proofErr w:type="spellStart"/>
      <w:r w:rsidRPr="00C10C1C">
        <w:rPr>
          <w:rFonts w:ascii="Arial Nova" w:eastAsia="Times New Roman" w:hAnsi="Arial Nova" w:cs="Times New Roman"/>
          <w:kern w:val="0"/>
          <w:sz w:val="22"/>
          <w:szCs w:val="22"/>
          <w:lang w:eastAsia="hr-HR"/>
          <w14:ligatures w14:val="none"/>
        </w:rPr>
        <w:t>licencnih</w:t>
      </w:r>
      <w:proofErr w:type="spellEnd"/>
      <w:r w:rsidRPr="00C10C1C">
        <w:rPr>
          <w:rFonts w:ascii="Arial Nova" w:eastAsia="Times New Roman" w:hAnsi="Arial Nova" w:cs="Times New Roman"/>
          <w:kern w:val="0"/>
          <w:sz w:val="22"/>
          <w:szCs w:val="22"/>
          <w:lang w:eastAsia="hr-HR"/>
          <w14:ligatures w14:val="none"/>
        </w:rPr>
        <w:t xml:space="preserve"> razloga ne postoji odgovarajuća tržišna alternativa;</w:t>
      </w:r>
    </w:p>
    <w:p w14:paraId="50218F8B"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servisiranja i održavanja specifične sportske ili tehničke opreme kada uslugu može pružiti samo proizvođač, ovlašteni zastupnik ili nositelj prava;</w:t>
      </w:r>
    </w:p>
    <w:p w14:paraId="328CB771"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drugih slučajeva koji ispunjavaju uvjete propisane Zakonom.</w:t>
      </w:r>
    </w:p>
    <w:p w14:paraId="5B662BC3" w14:textId="77777777" w:rsidR="00C10C1C" w:rsidRPr="00C10C1C" w:rsidRDefault="00C10C1C" w:rsidP="00C10C1C">
      <w:pPr>
        <w:spacing w:before="100" w:beforeAutospacing="1" w:after="100" w:afterAutospacing="1" w:line="240" w:lineRule="auto"/>
        <w:jc w:val="both"/>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IX. SLUŽBENI SMJEŠTAJ I PUTNE USLUGE</w:t>
      </w:r>
    </w:p>
    <w:p w14:paraId="79A9BD24"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lastRenderedPageBreak/>
        <w:t>Članak 15.</w:t>
      </w:r>
    </w:p>
    <w:p w14:paraId="7FC9FE18"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Kada organizator natjecanja, BWF, Badminton Europe, nacionalni savez domaćin ili druga nadležna sportska organizacija odredi obvezni ili službeni smještaj, prijevoz ili drugu povezanu uslugu te HBS nema stvarnu mogućnost izbora drugog pružatelja, HBS koristi uslugu određenu pravilima organizatora.</w:t>
      </w:r>
    </w:p>
    <w:p w14:paraId="0325CDD7"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(2) Ako organizator ponudi više mogućnosti službenog smještaja, HBS će, vodeći računa o potrebama reprezentacije i organizaciji natjecanja, odabrati ekonomski i funkcionalno najpovoljniju opciju.</w:t>
      </w:r>
    </w:p>
    <w:p w14:paraId="5C5672F7"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(3) Dokumentaciju organizatora iz koje su razvidni uvjeti i cijene potrebno je sačuvati uz dokumentaciju predmetne aktivnosti.</w:t>
      </w:r>
    </w:p>
    <w:p w14:paraId="7B8560F8"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16.</w:t>
      </w:r>
    </w:p>
    <w:p w14:paraId="46E608DF"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Zrakoplovne, autobusne, željezničke i druge putne karte te putne usluge s dinamičnim cijenama do vrijednosti od 15.000,00 eura mogu se nabavljati izravno od prijevoznika, putničke agencije ili putem internetskih platformi.</w:t>
      </w:r>
    </w:p>
    <w:p w14:paraId="01EF39BE"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(2) Prije kupnje, kada je to razumno moguće, uspoređuje se cijena kod najmanje dva izvora, vodeći računa ne samo o cijeni nego i o vremenu putovanja, broju presjedanja, prtljazi, uvjetima promjene i otkazivanja te drugim relevantnim okolnostima.</w:t>
      </w:r>
    </w:p>
    <w:p w14:paraId="5186E29F"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(3) Usporedba se može dokumentirati snimkom zaslona, ispisom pretrage, ponudama ili kratkom službenom bilješkom.</w:t>
      </w:r>
    </w:p>
    <w:p w14:paraId="3EB0DB3C"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(4) Ako zbog kratkoće vremena, jedinog odgovarajućeg leta, posebne sportske tarife, zahtjeva organizatora ili drugog objektivnog razloga usporedba nije moguća ili ne bi bila svrhovita, razlog se kratko evidentira.</w:t>
      </w:r>
    </w:p>
    <w:p w14:paraId="21D765BD" w14:textId="77777777" w:rsidR="00C10C1C" w:rsidRPr="00C10C1C" w:rsidRDefault="00C10C1C" w:rsidP="00C10C1C">
      <w:pPr>
        <w:spacing w:before="100" w:beforeAutospacing="1" w:after="100" w:afterAutospacing="1" w:line="240" w:lineRule="auto"/>
        <w:jc w:val="both"/>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X. POZIV, PONUDE I POVJERENSTVO</w:t>
      </w:r>
    </w:p>
    <w:p w14:paraId="5F66CE70"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17.</w:t>
      </w:r>
    </w:p>
    <w:p w14:paraId="060A832C"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Poziv na dostavu ponuda za postupke iznad 15.000,00 eura sadrži najmanje:</w:t>
      </w:r>
    </w:p>
    <w:p w14:paraId="5C56D259"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podatke o HBS-u;</w:t>
      </w:r>
    </w:p>
    <w:p w14:paraId="09D09659"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opis predmeta nabave;</w:t>
      </w:r>
    </w:p>
    <w:p w14:paraId="22248B08"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tehničke specifikacije kada su potrebne;</w:t>
      </w:r>
    </w:p>
    <w:p w14:paraId="6EF67C4F"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procijenjenu vrijednost;</w:t>
      </w:r>
    </w:p>
    <w:p w14:paraId="010BCAB4"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kriterij odabira;</w:t>
      </w:r>
    </w:p>
    <w:p w14:paraId="3C6C135D"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uvjete sposobnosti i razloge isključenja, ako se primjenjuju;</w:t>
      </w:r>
    </w:p>
    <w:p w14:paraId="192FA491"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rok i način dostave ponuda;</w:t>
      </w:r>
    </w:p>
    <w:p w14:paraId="53C8FC15"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lastRenderedPageBreak/>
        <w:t>– druge podatke potrebne za izradu usporedivih ponuda.</w:t>
      </w:r>
    </w:p>
    <w:p w14:paraId="607B8E50"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Kriterij odabira može biti najniža cijena ili ekonomski najpovoljnija ponuda.</w:t>
      </w:r>
    </w:p>
    <w:p w14:paraId="7F0F8759"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18.</w:t>
      </w:r>
    </w:p>
    <w:p w14:paraId="11C85DF1" w14:textId="06180333"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(1) Za postupke iznad 15.000,00 eura Predsjednik, </w:t>
      </w:r>
      <w:r w:rsidR="00B24445">
        <w:rPr>
          <w:rFonts w:ascii="Arial Nova" w:eastAsia="Times New Roman" w:hAnsi="Arial Nova" w:cs="Times New Roman"/>
          <w:kern w:val="0"/>
          <w:sz w:val="22"/>
          <w:szCs w:val="22"/>
          <w:lang w:eastAsia="hr-HR"/>
          <w14:ligatures w14:val="none"/>
        </w:rPr>
        <w:t>Glavni t</w:t>
      </w:r>
      <w:r w:rsidRPr="00C10C1C">
        <w:rPr>
          <w:rFonts w:ascii="Arial Nova" w:eastAsia="Times New Roman" w:hAnsi="Arial Nova" w:cs="Times New Roman"/>
          <w:kern w:val="0"/>
          <w:sz w:val="22"/>
          <w:szCs w:val="22"/>
          <w:lang w:eastAsia="hr-HR"/>
          <w14:ligatures w14:val="none"/>
        </w:rPr>
        <w:t>ajnik ili Upravni odbor HBS-a imenuje najmanje dvije osobe koje provode pregled i ocjenu ponuda.</w:t>
      </w:r>
    </w:p>
    <w:p w14:paraId="4EC89CB9"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(2) O pregledu i ocjeni sastavlja se zapisnik.</w:t>
      </w:r>
    </w:p>
    <w:p w14:paraId="01314B90"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(3) Za valjan odabir dovoljna je jedna valjana ponuda ako zadovoljava sve uvjete postupka.</w:t>
      </w:r>
    </w:p>
    <w:p w14:paraId="5B2C8B6F"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(4) Otvaranje ponuda nije javno, osim ako je u pozivu drukčije određeno ili proizlazi iz funkcionalnosti EOJN RH.</w:t>
      </w:r>
    </w:p>
    <w:p w14:paraId="56EDFD09" w14:textId="77777777" w:rsidR="00C10C1C" w:rsidRPr="00C10C1C" w:rsidRDefault="00C10C1C" w:rsidP="00C10C1C">
      <w:pPr>
        <w:spacing w:before="100" w:beforeAutospacing="1" w:after="100" w:afterAutospacing="1" w:line="240" w:lineRule="auto"/>
        <w:jc w:val="both"/>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XI. ODLUKA O ODABIRU I PONIŠTENJU</w:t>
      </w:r>
    </w:p>
    <w:p w14:paraId="0311342A"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19.</w:t>
      </w:r>
    </w:p>
    <w:p w14:paraId="460AE654"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Na temelju provedenog pregleda i ocjene ponuda donosi se Odluka o odabiru ili Odluka o poništenju postupka.</w:t>
      </w:r>
    </w:p>
    <w:p w14:paraId="2B3311C4" w14:textId="0DF009EC"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(2) Odluku za postupke do 15.000,00 eura donosi </w:t>
      </w:r>
      <w:r w:rsidR="00B24445">
        <w:rPr>
          <w:rFonts w:ascii="Arial Nova" w:eastAsia="Times New Roman" w:hAnsi="Arial Nova" w:cs="Times New Roman"/>
          <w:kern w:val="0"/>
          <w:sz w:val="22"/>
          <w:szCs w:val="22"/>
          <w:lang w:eastAsia="hr-HR"/>
          <w14:ligatures w14:val="none"/>
        </w:rPr>
        <w:t>Glavni t</w:t>
      </w:r>
      <w:r w:rsidRPr="00C10C1C">
        <w:rPr>
          <w:rFonts w:ascii="Arial Nova" w:eastAsia="Times New Roman" w:hAnsi="Arial Nova" w:cs="Times New Roman"/>
          <w:kern w:val="0"/>
          <w:sz w:val="22"/>
          <w:szCs w:val="22"/>
          <w:lang w:eastAsia="hr-HR"/>
          <w14:ligatures w14:val="none"/>
        </w:rPr>
        <w:t>ajnik ili Predsjednik HBS-a.</w:t>
      </w:r>
    </w:p>
    <w:p w14:paraId="613D503C" w14:textId="11E4E08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(3) Odluku za postupke iznad 15.000,00 eura donosi Upravni odbor HBS-a, osim ako je Statutom, odlukom Upravnog odbora ili drugim aktom HBS-a ovlast za određenu vrstu nabave prenesena na Predsjednika ili </w:t>
      </w:r>
      <w:r w:rsidR="00B24445">
        <w:rPr>
          <w:rFonts w:ascii="Arial Nova" w:eastAsia="Times New Roman" w:hAnsi="Arial Nova" w:cs="Times New Roman"/>
          <w:kern w:val="0"/>
          <w:sz w:val="22"/>
          <w:szCs w:val="22"/>
          <w:lang w:eastAsia="hr-HR"/>
          <w14:ligatures w14:val="none"/>
        </w:rPr>
        <w:t>Glavnog t</w:t>
      </w:r>
      <w:r w:rsidRPr="00C10C1C">
        <w:rPr>
          <w:rFonts w:ascii="Arial Nova" w:eastAsia="Times New Roman" w:hAnsi="Arial Nova" w:cs="Times New Roman"/>
          <w:kern w:val="0"/>
          <w:sz w:val="22"/>
          <w:szCs w:val="22"/>
          <w:lang w:eastAsia="hr-HR"/>
          <w14:ligatures w14:val="none"/>
        </w:rPr>
        <w:t>ajnika.</w:t>
      </w:r>
    </w:p>
    <w:p w14:paraId="083C0B4E"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(4) Odluke u postupcima iznad 15.000,00 eura dostavljaju se putem EOJN RH.</w:t>
      </w:r>
    </w:p>
    <w:p w14:paraId="028A6C55"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20.</w:t>
      </w:r>
    </w:p>
    <w:p w14:paraId="136AA6D0"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Postupak se može poništiti osobito:</w:t>
      </w:r>
    </w:p>
    <w:p w14:paraId="7D8E3A4D"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ako nije zaprimljena nijedna ponuda;</w:t>
      </w:r>
    </w:p>
    <w:p w14:paraId="545F8A6B"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ako nije preostala nijedna valjana ponuda;</w:t>
      </w:r>
    </w:p>
    <w:p w14:paraId="704DFAD1"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ako nisu osigurana potrebna financijska sredstva;</w:t>
      </w:r>
    </w:p>
    <w:p w14:paraId="7A9C1CDB"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ako se utvrdi sukob interesa koji se ne može otkloniti;</w:t>
      </w:r>
    </w:p>
    <w:p w14:paraId="520C045B"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ako su nastale okolnosti zbog kojih predmet nabave više nije potreban;</w:t>
      </w:r>
    </w:p>
    <w:p w14:paraId="320FE835"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ako bi nastavak postupka bio protivan Zakonu, ovom Pravilniku ili interesima HBS-a koji su povezani sa zakonitim i namjenskim trošenjem sredstava.</w:t>
      </w:r>
    </w:p>
    <w:p w14:paraId="274C083B" w14:textId="77777777" w:rsidR="00C10C1C" w:rsidRPr="00C10C1C" w:rsidRDefault="00C10C1C" w:rsidP="00C10C1C">
      <w:pPr>
        <w:spacing w:before="100" w:beforeAutospacing="1" w:after="100" w:afterAutospacing="1" w:line="240" w:lineRule="auto"/>
        <w:jc w:val="both"/>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XII. PRAVNA ZAŠTITA</w:t>
      </w:r>
    </w:p>
    <w:p w14:paraId="2AE48425"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21.</w:t>
      </w:r>
    </w:p>
    <w:p w14:paraId="1BAE4893"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lastRenderedPageBreak/>
        <w:t>(1) U postupcima jednostavne nabave procijenjene vrijednosti do uključivo 15.000,00 eura prigovor nije dopušten.</w:t>
      </w:r>
    </w:p>
    <w:p w14:paraId="0822EDAC"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(2) U postupcima jednostavne nabave procijenjene vrijednosti veće od 15.000,00 eura gospodarski subjekt koji ima ili je imao pravni interes za dobivanje ugovora i koji je pretrpio ili bi mogao pretrpjeti štetu zbog navodne povrede njegovih prava može podnijeti prigovor.</w:t>
      </w:r>
    </w:p>
    <w:p w14:paraId="3F0490CA"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(3) Prigovor se može odnositi na dokumentaciju i uvjete postupka, pregled i ocjenu ponuda, Odluku o odabiru ili Odluku o poništenju.</w:t>
      </w:r>
    </w:p>
    <w:p w14:paraId="2D335CCA"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(4) Prigovor se podnosi Predsjedniku HBS-a putem EOJN RH.</w:t>
      </w:r>
    </w:p>
    <w:p w14:paraId="267B8F32"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(5) Prigovor na sadržaj poziva odnosno dokumentacije podnosi se do isteka roka za dostavu ponuda.</w:t>
      </w:r>
    </w:p>
    <w:p w14:paraId="6D313486"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(6) Prigovor na Odluku o odabiru ili poništenju podnosi se u roku od osam kalendarskih dana od dostave odluke.</w:t>
      </w:r>
    </w:p>
    <w:p w14:paraId="13B8DDD6"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22.</w:t>
      </w:r>
    </w:p>
    <w:p w14:paraId="3623169C"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O prigovoru odlučuje Upravni odbor HBS-a.</w:t>
      </w:r>
    </w:p>
    <w:p w14:paraId="7B273D87"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(2) Osobe koje su neposredno sudjelovale u postupku na koji se prigovor odnosi ne sudjeluju u odlučivanju o prigovoru ako bi time mogla biti dovedena u pitanje nepristranost odlučivanja.</w:t>
      </w:r>
    </w:p>
    <w:p w14:paraId="2B706299"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(3) Upravni odbor može prigovor odbaciti, odbiti kao neosnovan, usvojiti te poništiti odluku ili pojedinu radnju odnosno poništiti postupak.</w:t>
      </w:r>
    </w:p>
    <w:p w14:paraId="1183597B"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(4) Odluka o prigovoru mora biti obrazložena.</w:t>
      </w:r>
    </w:p>
    <w:p w14:paraId="770C8B9D"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(5) Postupak po prigovoru nije upravni postupak.</w:t>
      </w:r>
    </w:p>
    <w:p w14:paraId="3754EE43"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(6) Pravodobno podnesen prigovor odgađa sklapanje ugovora do donošenja odluke o prigovoru, osim u slučaju kada bi odgoda zbog iznimne i obrazložene žurnosti mogla prouzročiti znatnu štetu HBS-u ili ugroziti nastup reprezentacije, provedbu natjecanja ili drugu važnu sportsku aktivnost.</w:t>
      </w:r>
    </w:p>
    <w:p w14:paraId="50454D4A" w14:textId="77777777" w:rsidR="00C10C1C" w:rsidRPr="00C10C1C" w:rsidRDefault="00C10C1C" w:rsidP="00C10C1C">
      <w:pPr>
        <w:spacing w:before="100" w:beforeAutospacing="1" w:after="100" w:afterAutospacing="1" w:line="240" w:lineRule="auto"/>
        <w:jc w:val="both"/>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XIII. UGOVOR, NARUDŽBENICA I IZVRŠENJE</w:t>
      </w:r>
    </w:p>
    <w:p w14:paraId="0DB2FEA1"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23.</w:t>
      </w:r>
    </w:p>
    <w:p w14:paraId="26DF2BCC"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Nakon završetka postupka s odabranim ponuditeljem sklapa se ugovor ili izdaje narudžbenica.</w:t>
      </w:r>
    </w:p>
    <w:p w14:paraId="5AA00B9F"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(2) Ugovor odnosno narudžbenica mora odgovarati uvjetima postupka i odabranoj ponudi.</w:t>
      </w:r>
    </w:p>
    <w:p w14:paraId="48EABCC9" w14:textId="5FE27098"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(3) </w:t>
      </w:r>
      <w:r w:rsidR="00B24445">
        <w:rPr>
          <w:rFonts w:ascii="Arial Nova" w:eastAsia="Times New Roman" w:hAnsi="Arial Nova" w:cs="Times New Roman"/>
          <w:kern w:val="0"/>
          <w:sz w:val="22"/>
          <w:szCs w:val="22"/>
          <w:lang w:eastAsia="hr-HR"/>
          <w14:ligatures w14:val="none"/>
        </w:rPr>
        <w:t>Glavni t</w:t>
      </w:r>
      <w:r w:rsidRPr="00C10C1C">
        <w:rPr>
          <w:rFonts w:ascii="Arial Nova" w:eastAsia="Times New Roman" w:hAnsi="Arial Nova" w:cs="Times New Roman"/>
          <w:kern w:val="0"/>
          <w:sz w:val="22"/>
          <w:szCs w:val="22"/>
          <w:lang w:eastAsia="hr-HR"/>
          <w14:ligatures w14:val="none"/>
        </w:rPr>
        <w:t>ajnik HBS-a ili druga zadužena osoba prati izvršenje ugovora odnosno narudžbenice.</w:t>
      </w:r>
    </w:p>
    <w:p w14:paraId="705945AE"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(4) Izmjene ugovora dopuštene su ako ne mijenjaju bitno predmet i uvjete nabave te se njima ne izbjegava primjena Zakona ili ovoga Pravilnika.</w:t>
      </w:r>
    </w:p>
    <w:p w14:paraId="2BD31C2C" w14:textId="77777777" w:rsidR="00C10C1C" w:rsidRPr="00C10C1C" w:rsidRDefault="00C10C1C" w:rsidP="00C10C1C">
      <w:pPr>
        <w:spacing w:before="100" w:beforeAutospacing="1" w:after="100" w:afterAutospacing="1" w:line="240" w:lineRule="auto"/>
        <w:jc w:val="both"/>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lastRenderedPageBreak/>
        <w:t>XIV. AVANSNO PLAĆANJE</w:t>
      </w:r>
    </w:p>
    <w:p w14:paraId="5CEC967B"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24.</w:t>
      </w:r>
    </w:p>
    <w:p w14:paraId="7B55C5FF"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Kada priroda nabave to zahtijeva, HBS može izvršiti djelomično ili potpuno plaćanje unaprijed.</w:t>
      </w:r>
    </w:p>
    <w:p w14:paraId="2499B542" w14:textId="6DAE318E"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(2) Avansno plaćanje osobito je dopušteno kod putnih karata, smještaja, kotizacija, </w:t>
      </w:r>
      <w:r w:rsidR="00B24445">
        <w:rPr>
          <w:rFonts w:ascii="Arial Nova" w:eastAsia="Times New Roman" w:hAnsi="Arial Nova" w:cs="Times New Roman"/>
          <w:kern w:val="0"/>
          <w:sz w:val="22"/>
          <w:szCs w:val="22"/>
          <w:lang w:eastAsia="hr-HR"/>
          <w14:ligatures w14:val="none"/>
        </w:rPr>
        <w:t>licenci</w:t>
      </w:r>
      <w:r w:rsidRPr="00C10C1C">
        <w:rPr>
          <w:rFonts w:ascii="Arial Nova" w:eastAsia="Times New Roman" w:hAnsi="Arial Nova" w:cs="Times New Roman"/>
          <w:kern w:val="0"/>
          <w:sz w:val="22"/>
          <w:szCs w:val="22"/>
          <w:lang w:eastAsia="hr-HR"/>
          <w14:ligatures w14:val="none"/>
        </w:rPr>
        <w:t>, članarina, sportskih kampova, organizacije natjecanja, nabave sportske opreme i drugih slučajeva u kojima je plaćanje unaprijed uobičajeni tržišni ili organizacijski uvjet.</w:t>
      </w:r>
    </w:p>
    <w:p w14:paraId="37CB74ED"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(3) Plaćanje se provodi na temelju ponude, predračuna, računa, rezervacije ili drugog odgovarajućeg dokumenta.</w:t>
      </w:r>
    </w:p>
    <w:p w14:paraId="13517AAC" w14:textId="77777777" w:rsidR="00C10C1C" w:rsidRPr="00C10C1C" w:rsidRDefault="00C10C1C" w:rsidP="00C10C1C">
      <w:pPr>
        <w:spacing w:before="100" w:beforeAutospacing="1" w:after="100" w:afterAutospacing="1" w:line="240" w:lineRule="auto"/>
        <w:jc w:val="both"/>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XV. REGISTAR UGOVORA I DOKUMENTACIJA</w:t>
      </w:r>
    </w:p>
    <w:p w14:paraId="37DBD268"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25.</w:t>
      </w:r>
    </w:p>
    <w:p w14:paraId="0723A2EC"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HBS vodi Registar ugovora sukladno Zakonu i podzakonskim propisima.</w:t>
      </w:r>
    </w:p>
    <w:p w14:paraId="7D2DE19E"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(2) U Registar se unose podaci propisani važećim propisima.</w:t>
      </w:r>
    </w:p>
    <w:p w14:paraId="643558D7" w14:textId="1EFFEC01"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(3) Za vođenje i ažuriranje Registra odgovoran je </w:t>
      </w:r>
      <w:r w:rsidR="00B24445">
        <w:rPr>
          <w:rFonts w:ascii="Arial Nova" w:eastAsia="Times New Roman" w:hAnsi="Arial Nova" w:cs="Times New Roman"/>
          <w:kern w:val="0"/>
          <w:sz w:val="22"/>
          <w:szCs w:val="22"/>
          <w:lang w:eastAsia="hr-HR"/>
          <w14:ligatures w14:val="none"/>
        </w:rPr>
        <w:t>Glavni t</w:t>
      </w:r>
      <w:r w:rsidRPr="00C10C1C">
        <w:rPr>
          <w:rFonts w:ascii="Arial Nova" w:eastAsia="Times New Roman" w:hAnsi="Arial Nova" w:cs="Times New Roman"/>
          <w:kern w:val="0"/>
          <w:sz w:val="22"/>
          <w:szCs w:val="22"/>
          <w:lang w:eastAsia="hr-HR"/>
          <w14:ligatures w14:val="none"/>
        </w:rPr>
        <w:t>ajnik HBS-a odnosno osoba koju on za to ovlasti.</w:t>
      </w:r>
    </w:p>
    <w:p w14:paraId="6D9E266A"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26.</w:t>
      </w:r>
    </w:p>
    <w:p w14:paraId="6734A971"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Dokumentacija o postupcima jednostavne nabave čuva se najmanje četiri godine od završetka postupka, odnosno dulje kada je to propisano posebnim propisima, pravilima HOO-a, Ministarstva turizma i sporta, Europske unije, BWF-a, Badminton Europe ili uvjetima pojedinog programa financiranja.</w:t>
      </w:r>
    </w:p>
    <w:p w14:paraId="6A55347B" w14:textId="77777777" w:rsidR="00C10C1C" w:rsidRPr="00C10C1C" w:rsidRDefault="00C10C1C" w:rsidP="00C10C1C">
      <w:pPr>
        <w:spacing w:before="100" w:beforeAutospacing="1" w:after="100" w:afterAutospacing="1" w:line="240" w:lineRule="auto"/>
        <w:jc w:val="both"/>
        <w:outlineLvl w:val="1"/>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XVI. ZAVRŠNE ODREDBE</w:t>
      </w:r>
    </w:p>
    <w:p w14:paraId="61CB4A1E"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27.</w:t>
      </w:r>
    </w:p>
    <w:p w14:paraId="4EE74F44"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Ovaj Pravilnik i njegove izmjene i dopune objavljuju se na internetskim stranicama HBS-a i čine dostupnima u EOJN RH sukladno Zakonu.</w:t>
      </w:r>
    </w:p>
    <w:p w14:paraId="1AD8D2E6"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(2) Postupci jednostavne nabave pokrenuti prije stupanja na snagu ovoga Pravilnika dovršit će se prema pravilima koja su bila na snazi u trenutku njihova pokretanja.</w:t>
      </w:r>
    </w:p>
    <w:p w14:paraId="0B1F8A50"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(3) Na pitanja koja nisu uređena ovim Pravilnikom primjenjuju se Zakon o javnoj nabavi, pripadajući podzakonski propisi te drugi važeći propisi i opći akti HBS-a.</w:t>
      </w:r>
    </w:p>
    <w:p w14:paraId="5409E0D9" w14:textId="77777777" w:rsidR="00C10C1C" w:rsidRPr="00C10C1C" w:rsidRDefault="00C10C1C" w:rsidP="003B323E">
      <w:pPr>
        <w:spacing w:before="100" w:beforeAutospacing="1" w:after="100" w:afterAutospacing="1" w:line="240" w:lineRule="auto"/>
        <w:jc w:val="center"/>
        <w:outlineLvl w:val="2"/>
        <w:rPr>
          <w:rFonts w:ascii="Arial Nova" w:eastAsia="Times New Roman" w:hAnsi="Arial Nova" w:cs="Times New Roman"/>
          <w:b/>
          <w:bCs/>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Članak 28.</w:t>
      </w:r>
    </w:p>
    <w:p w14:paraId="1A03D11B"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(1) Ovaj Pravilnik stupa na snagu danom donošenja.</w:t>
      </w:r>
    </w:p>
    <w:p w14:paraId="1F79BE58"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 xml:space="preserve">(2) Stupanjem na snagu ovoga Pravilnika prestaje važiti dosadašnji Pravilnik o jednostavnoj nabavi Hrvatskog </w:t>
      </w:r>
      <w:proofErr w:type="spellStart"/>
      <w:r w:rsidRPr="00C10C1C">
        <w:rPr>
          <w:rFonts w:ascii="Arial Nova" w:eastAsia="Times New Roman" w:hAnsi="Arial Nova" w:cs="Times New Roman"/>
          <w:kern w:val="0"/>
          <w:sz w:val="22"/>
          <w:szCs w:val="22"/>
          <w:lang w:eastAsia="hr-HR"/>
          <w14:ligatures w14:val="none"/>
        </w:rPr>
        <w:t>badmintonskog</w:t>
      </w:r>
      <w:proofErr w:type="spellEnd"/>
      <w:r w:rsidRPr="00C10C1C">
        <w:rPr>
          <w:rFonts w:ascii="Arial Nova" w:eastAsia="Times New Roman" w:hAnsi="Arial Nova" w:cs="Times New Roman"/>
          <w:kern w:val="0"/>
          <w:sz w:val="22"/>
          <w:szCs w:val="22"/>
          <w:lang w:eastAsia="hr-HR"/>
          <w14:ligatures w14:val="none"/>
        </w:rPr>
        <w:t xml:space="preserve"> saveza.</w:t>
      </w:r>
    </w:p>
    <w:p w14:paraId="1C87FF07"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lastRenderedPageBreak/>
        <w:t>U Zagrebu, __________ 2026.</w:t>
      </w:r>
    </w:p>
    <w:p w14:paraId="284F66D8" w14:textId="6308C590" w:rsidR="00C10C1C" w:rsidRPr="00C10C1C" w:rsidRDefault="00C10C1C" w:rsidP="003B323E">
      <w:pPr>
        <w:spacing w:before="100" w:beforeAutospacing="1" w:after="100" w:afterAutospacing="1" w:line="240" w:lineRule="auto"/>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b/>
          <w:bCs/>
          <w:kern w:val="0"/>
          <w:sz w:val="22"/>
          <w:szCs w:val="22"/>
          <w:lang w:eastAsia="hr-HR"/>
          <w14:ligatures w14:val="none"/>
        </w:rPr>
        <w:t>UPRAVNI</w:t>
      </w:r>
      <w:r w:rsidR="003B323E">
        <w:rPr>
          <w:rFonts w:ascii="Arial Nova" w:eastAsia="Times New Roman" w:hAnsi="Arial Nova" w:cs="Times New Roman"/>
          <w:b/>
          <w:bCs/>
          <w:kern w:val="0"/>
          <w:sz w:val="22"/>
          <w:szCs w:val="22"/>
          <w:lang w:eastAsia="hr-HR"/>
          <w14:ligatures w14:val="none"/>
        </w:rPr>
        <w:t xml:space="preserve"> </w:t>
      </w:r>
      <w:r w:rsidRPr="00C10C1C">
        <w:rPr>
          <w:rFonts w:ascii="Arial Nova" w:eastAsia="Times New Roman" w:hAnsi="Arial Nova" w:cs="Times New Roman"/>
          <w:b/>
          <w:bCs/>
          <w:kern w:val="0"/>
          <w:sz w:val="22"/>
          <w:szCs w:val="22"/>
          <w:lang w:eastAsia="hr-HR"/>
          <w14:ligatures w14:val="none"/>
        </w:rPr>
        <w:t>ODBOR</w:t>
      </w:r>
      <w:r w:rsidRPr="00C10C1C">
        <w:rPr>
          <w:rFonts w:ascii="Arial Nova" w:eastAsia="Times New Roman" w:hAnsi="Arial Nova" w:cs="Times New Roman"/>
          <w:b/>
          <w:bCs/>
          <w:kern w:val="0"/>
          <w:sz w:val="22"/>
          <w:szCs w:val="22"/>
          <w:lang w:eastAsia="hr-HR"/>
          <w14:ligatures w14:val="none"/>
        </w:rPr>
        <w:br/>
        <w:t>HRVATSKOG BADMINTONSKOG SAVEZA</w:t>
      </w:r>
    </w:p>
    <w:p w14:paraId="092921E5" w14:textId="77777777" w:rsidR="00C10C1C" w:rsidRPr="00C10C1C" w:rsidRDefault="00C10C1C" w:rsidP="00C10C1C">
      <w:pPr>
        <w:spacing w:before="100" w:beforeAutospacing="1" w:after="100" w:afterAutospacing="1" w:line="240" w:lineRule="auto"/>
        <w:jc w:val="both"/>
        <w:rPr>
          <w:rFonts w:ascii="Arial Nova" w:eastAsia="Times New Roman" w:hAnsi="Arial Nova" w:cs="Times New Roman"/>
          <w:kern w:val="0"/>
          <w:sz w:val="22"/>
          <w:szCs w:val="22"/>
          <w:lang w:eastAsia="hr-HR"/>
          <w14:ligatures w14:val="none"/>
        </w:rPr>
      </w:pPr>
      <w:r w:rsidRPr="00C10C1C">
        <w:rPr>
          <w:rFonts w:ascii="Arial Nova" w:eastAsia="Times New Roman" w:hAnsi="Arial Nova" w:cs="Times New Roman"/>
          <w:kern w:val="0"/>
          <w:sz w:val="22"/>
          <w:szCs w:val="22"/>
          <w:lang w:eastAsia="hr-HR"/>
          <w14:ligatures w14:val="none"/>
        </w:rPr>
        <w:t>Predsjednik HBS-a</w:t>
      </w:r>
    </w:p>
    <w:p w14:paraId="41DBF3B0" w14:textId="77777777" w:rsidR="00C10C1C" w:rsidRPr="00C10C1C" w:rsidRDefault="00C10C1C" w:rsidP="003B323E">
      <w:pPr>
        <w:rPr>
          <w:rFonts w:ascii="Arial Nova" w:hAnsi="Arial Nova"/>
          <w:sz w:val="22"/>
          <w:szCs w:val="22"/>
        </w:rPr>
      </w:pPr>
    </w:p>
    <w:sectPr w:rsidR="00C10C1C" w:rsidRPr="00C10C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421B0"/>
    <w:multiLevelType w:val="multilevel"/>
    <w:tmpl w:val="0B8C5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0D3E32"/>
    <w:multiLevelType w:val="multilevel"/>
    <w:tmpl w:val="97A8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F97017"/>
    <w:multiLevelType w:val="multilevel"/>
    <w:tmpl w:val="D9F2D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4330322">
    <w:abstractNumId w:val="2"/>
  </w:num>
  <w:num w:numId="2" w16cid:durableId="708142767">
    <w:abstractNumId w:val="1"/>
  </w:num>
  <w:num w:numId="3" w16cid:durableId="26952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C1C"/>
    <w:rsid w:val="000A063C"/>
    <w:rsid w:val="003B323E"/>
    <w:rsid w:val="00B24445"/>
    <w:rsid w:val="00C10C1C"/>
    <w:rsid w:val="00E1729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322BB"/>
  <w15:chartTrackingRefBased/>
  <w15:docId w15:val="{92F15CD3-47FB-460C-89AA-056F961E6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C10C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C10C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C10C1C"/>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C10C1C"/>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C10C1C"/>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C10C1C"/>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C10C1C"/>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C10C1C"/>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C10C1C"/>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C10C1C"/>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C10C1C"/>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C10C1C"/>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C10C1C"/>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C10C1C"/>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C10C1C"/>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C10C1C"/>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C10C1C"/>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C10C1C"/>
    <w:rPr>
      <w:rFonts w:eastAsiaTheme="majorEastAsia" w:cstheme="majorBidi"/>
      <w:color w:val="272727" w:themeColor="text1" w:themeTint="D8"/>
    </w:rPr>
  </w:style>
  <w:style w:type="paragraph" w:styleId="Naslov">
    <w:name w:val="Title"/>
    <w:basedOn w:val="Normal"/>
    <w:next w:val="Normal"/>
    <w:link w:val="NaslovChar"/>
    <w:uiPriority w:val="10"/>
    <w:qFormat/>
    <w:rsid w:val="00C10C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C10C1C"/>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C10C1C"/>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C10C1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10C1C"/>
    <w:pPr>
      <w:spacing w:before="160"/>
      <w:jc w:val="center"/>
    </w:pPr>
    <w:rPr>
      <w:i/>
      <w:iCs/>
      <w:color w:val="404040" w:themeColor="text1" w:themeTint="BF"/>
    </w:rPr>
  </w:style>
  <w:style w:type="character" w:customStyle="1" w:styleId="CitatChar">
    <w:name w:val="Citat Char"/>
    <w:basedOn w:val="Zadanifontodlomka"/>
    <w:link w:val="Citat"/>
    <w:uiPriority w:val="29"/>
    <w:rsid w:val="00C10C1C"/>
    <w:rPr>
      <w:i/>
      <w:iCs/>
      <w:color w:val="404040" w:themeColor="text1" w:themeTint="BF"/>
    </w:rPr>
  </w:style>
  <w:style w:type="paragraph" w:styleId="Odlomakpopisa">
    <w:name w:val="List Paragraph"/>
    <w:basedOn w:val="Normal"/>
    <w:uiPriority w:val="34"/>
    <w:qFormat/>
    <w:rsid w:val="00C10C1C"/>
    <w:pPr>
      <w:ind w:left="720"/>
      <w:contextualSpacing/>
    </w:pPr>
  </w:style>
  <w:style w:type="character" w:styleId="Jakoisticanje">
    <w:name w:val="Intense Emphasis"/>
    <w:basedOn w:val="Zadanifontodlomka"/>
    <w:uiPriority w:val="21"/>
    <w:qFormat/>
    <w:rsid w:val="00C10C1C"/>
    <w:rPr>
      <w:i/>
      <w:iCs/>
      <w:color w:val="2F5496" w:themeColor="accent1" w:themeShade="BF"/>
    </w:rPr>
  </w:style>
  <w:style w:type="paragraph" w:styleId="Naglaencitat">
    <w:name w:val="Intense Quote"/>
    <w:basedOn w:val="Normal"/>
    <w:next w:val="Normal"/>
    <w:link w:val="NaglaencitatChar"/>
    <w:uiPriority w:val="30"/>
    <w:qFormat/>
    <w:rsid w:val="00C10C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C10C1C"/>
    <w:rPr>
      <w:i/>
      <w:iCs/>
      <w:color w:val="2F5496" w:themeColor="accent1" w:themeShade="BF"/>
    </w:rPr>
  </w:style>
  <w:style w:type="character" w:styleId="Istaknutareferenca">
    <w:name w:val="Intense Reference"/>
    <w:basedOn w:val="Zadanifontodlomka"/>
    <w:uiPriority w:val="32"/>
    <w:qFormat/>
    <w:rsid w:val="00C10C1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2687</Words>
  <Characters>15316</Characters>
  <Application>Microsoft Office Word</Application>
  <DocSecurity>0</DocSecurity>
  <Lines>127</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Galjer</dc:creator>
  <cp:keywords/>
  <dc:description/>
  <cp:lastModifiedBy>Hrvatski badmintonski savez OIB 15918238976</cp:lastModifiedBy>
  <cp:revision>2</cp:revision>
  <dcterms:created xsi:type="dcterms:W3CDTF">2026-09-22T09:41:00Z</dcterms:created>
  <dcterms:modified xsi:type="dcterms:W3CDTF">2026-09-22T09:41:00Z</dcterms:modified>
</cp:coreProperties>
</file>